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6"/>
        <w:gridCol w:w="992"/>
        <w:gridCol w:w="1134"/>
        <w:gridCol w:w="2694"/>
        <w:gridCol w:w="2268"/>
      </w:tblGrid>
      <w:tr w:rsidR="005611FF" w:rsidRPr="005611FF" w:rsidTr="005611FF">
        <w:trPr>
          <w:trHeight w:val="105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 w:hint="eastAsia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岗位</w:t>
            </w:r>
          </w:p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名称</w:t>
            </w:r>
          </w:p>
        </w:tc>
        <w:tc>
          <w:tcPr>
            <w:tcW w:w="992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岗位数</w:t>
            </w:r>
          </w:p>
        </w:tc>
        <w:tc>
          <w:tcPr>
            <w:tcW w:w="1134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年龄</w:t>
            </w:r>
          </w:p>
        </w:tc>
        <w:tc>
          <w:tcPr>
            <w:tcW w:w="2694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专业</w:t>
            </w:r>
          </w:p>
        </w:tc>
        <w:tc>
          <w:tcPr>
            <w:tcW w:w="2268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学历</w:t>
            </w:r>
          </w:p>
        </w:tc>
      </w:tr>
      <w:tr w:rsidR="005611FF" w:rsidRPr="005611FF" w:rsidTr="005611FF">
        <w:tc>
          <w:tcPr>
            <w:tcW w:w="1276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专业技术人员1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30周岁及以下</w:t>
            </w:r>
          </w:p>
        </w:tc>
        <w:tc>
          <w:tcPr>
            <w:tcW w:w="269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药学、药理学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全日制本科及以上学历学位</w:t>
            </w:r>
          </w:p>
        </w:tc>
      </w:tr>
      <w:tr w:rsidR="005611FF" w:rsidRPr="005611FF" w:rsidTr="005611FF">
        <w:tc>
          <w:tcPr>
            <w:tcW w:w="1276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专业技术人员2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30周岁及以下</w:t>
            </w:r>
          </w:p>
        </w:tc>
        <w:tc>
          <w:tcPr>
            <w:tcW w:w="269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食品科学与工程、</w:t>
            </w:r>
          </w:p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无机化学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全日制本科及以上学历学位</w:t>
            </w:r>
          </w:p>
        </w:tc>
      </w:tr>
      <w:tr w:rsidR="005611FF" w:rsidRPr="005611FF" w:rsidTr="005611FF">
        <w:tc>
          <w:tcPr>
            <w:tcW w:w="1276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专业技术人员3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30周岁及以下</w:t>
            </w:r>
          </w:p>
        </w:tc>
        <w:tc>
          <w:tcPr>
            <w:tcW w:w="269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计算机应用技术、计算机网络技术或工程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全日制本科及以上学历学位</w:t>
            </w:r>
          </w:p>
        </w:tc>
      </w:tr>
      <w:tr w:rsidR="005611FF" w:rsidRPr="005611FF" w:rsidTr="005611FF">
        <w:tc>
          <w:tcPr>
            <w:tcW w:w="1276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专业技术人员4</w:t>
            </w:r>
          </w:p>
        </w:tc>
        <w:tc>
          <w:tcPr>
            <w:tcW w:w="99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30周岁及以下</w:t>
            </w:r>
          </w:p>
        </w:tc>
        <w:tc>
          <w:tcPr>
            <w:tcW w:w="269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法律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1FF" w:rsidRPr="005611FF" w:rsidRDefault="005611FF" w:rsidP="005611FF">
            <w:pPr>
              <w:widowControl/>
              <w:jc w:val="center"/>
              <w:rPr>
                <w:rFonts w:ascii="宋体" w:eastAsia="宋体" w:hAnsi="宋体" w:cs="宋体"/>
                <w:color w:val="484848"/>
                <w:kern w:val="0"/>
                <w:sz w:val="24"/>
                <w:szCs w:val="24"/>
              </w:rPr>
            </w:pPr>
            <w:r w:rsidRPr="005611FF">
              <w:rPr>
                <w:rFonts w:ascii="仿宋" w:eastAsia="仿宋" w:hAnsi="仿宋" w:cs="宋体" w:hint="eastAsia"/>
                <w:color w:val="484848"/>
                <w:kern w:val="0"/>
                <w:sz w:val="30"/>
                <w:szCs w:val="30"/>
              </w:rPr>
              <w:t>全日制硕士研究生及以上学历学位</w:t>
            </w:r>
          </w:p>
        </w:tc>
      </w:tr>
    </w:tbl>
    <w:p w:rsidR="00835BF4" w:rsidRPr="005611FF" w:rsidRDefault="00835BF4"/>
    <w:sectPr w:rsidR="00835BF4" w:rsidRPr="005611FF" w:rsidSect="0083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1FF"/>
    <w:rsid w:val="005611FF"/>
    <w:rsid w:val="0083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2015-12-31T05:11:00Z</dcterms:created>
  <dcterms:modified xsi:type="dcterms:W3CDTF">2015-12-31T05:12:00Z</dcterms:modified>
</cp:coreProperties>
</file>