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/>
          <w:b/>
          <w:i w:val="0"/>
          <w:caps w:val="0"/>
          <w:color w:val="666666"/>
          <w:spacing w:val="0"/>
          <w:sz w:val="18"/>
          <w:szCs w:val="18"/>
          <w:bdr w:val="none" w:color="auto" w:sz="0" w:space="0"/>
          <w:vertAlign w:val="baseline"/>
        </w:rPr>
        <w:t>武汉经济技术开发区（汉南区）安全生产监督管理局公开招聘安全生产监管人员拟录取人员名单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vertAlign w:val="baseline"/>
        </w:rPr>
        <w:t> </w:t>
      </w:r>
    </w:p>
    <w:tbl>
      <w:tblPr>
        <w:tblW w:w="469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605"/>
        <w:gridCol w:w="19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准考证号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贾东宸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王檑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杨一辰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沈卓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李璐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邵程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王奔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占亮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杨洋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成键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陈奕希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吴智博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王鑫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王浩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王帆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蔡锐华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00000001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vertAlign w:val="baseline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F4BB3"/>
    <w:rsid w:val="150F4B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2016-02-19T03:06:00Z</dcterms:created>
  <dc:creator>Administrator</dc:creator>
  <cp:lastModifiedBy>Administrator</cp:lastModifiedBy>
  <dcterms:modified xsi:type="dcterms:W3CDTF">2016-02-19T03:06:39Z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